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D6" w:rsidRDefault="003771D6" w:rsidP="003771D6">
      <w:pPr>
        <w:pStyle w:val="1"/>
        <w:jc w:val="center"/>
        <w:rPr>
          <w:rFonts w:ascii="黑体" w:eastAsia="黑体" w:hAnsi="黑体" w:cs="宋体"/>
          <w:b/>
          <w:color w:val="auto"/>
        </w:rPr>
      </w:pPr>
      <w:r>
        <w:rPr>
          <w:rFonts w:ascii="黑体" w:eastAsia="黑体" w:hAnsi="黑体" w:cs="宋体" w:hint="eastAsia"/>
          <w:b/>
          <w:color w:val="auto"/>
        </w:rPr>
        <w:t>西南交通大学-利兹学院学生转专业管理办法及实施细则</w:t>
      </w:r>
    </w:p>
    <w:p w:rsidR="003771D6" w:rsidRDefault="003771D6" w:rsidP="003771D6">
      <w:pPr>
        <w:pStyle w:val="2"/>
        <w:rPr>
          <w:rFonts w:ascii="黑体" w:eastAsia="黑体" w:hAnsi="黑体" w:cs="黑体"/>
          <w:b/>
          <w:bCs w:val="0"/>
          <w:sz w:val="21"/>
          <w:szCs w:val="21"/>
        </w:rPr>
      </w:pPr>
      <w:bookmarkStart w:id="0" w:name="_Toc453972531"/>
      <w:r>
        <w:rPr>
          <w:rFonts w:ascii="黑体" w:eastAsia="黑体" w:hAnsi="黑体" w:cs="黑体" w:hint="eastAsia"/>
          <w:b/>
          <w:sz w:val="21"/>
          <w:szCs w:val="21"/>
        </w:rPr>
        <w:t>第一章 总则</w:t>
      </w:r>
      <w:bookmarkEnd w:id="0"/>
    </w:p>
    <w:p w:rsidR="003771D6" w:rsidRDefault="003771D6" w:rsidP="003771D6">
      <w:pPr>
        <w:adjustRightInd w:val="0"/>
        <w:snapToGrid w:val="0"/>
        <w:spacing w:beforeLines="50" w:before="120" w:afterLines="50" w:after="120" w:line="340" w:lineRule="exact"/>
        <w:ind w:firstLineChars="200" w:firstLine="422"/>
        <w:jc w:val="both"/>
        <w:rPr>
          <w:rFonts w:ascii="宋体" w:eastAsia="宋体" w:hAnsi="宋体" w:cs="宋体"/>
          <w:sz w:val="21"/>
          <w:szCs w:val="21"/>
        </w:rPr>
      </w:pPr>
      <w:r>
        <w:rPr>
          <w:rFonts w:ascii="宋体" w:eastAsia="宋体" w:hAnsi="宋体" w:cs="宋体" w:hint="eastAsia"/>
          <w:b/>
          <w:sz w:val="21"/>
          <w:szCs w:val="21"/>
        </w:rPr>
        <w:t>第一条</w:t>
      </w:r>
      <w:r>
        <w:rPr>
          <w:b/>
          <w:sz w:val="21"/>
          <w:szCs w:val="21"/>
        </w:rPr>
        <w:t xml:space="preserve"> </w:t>
      </w:r>
      <w:r>
        <w:rPr>
          <w:rFonts w:ascii="宋体" w:eastAsia="宋体" w:hAnsi="宋体" w:cs="宋体" w:hint="eastAsia"/>
          <w:sz w:val="21"/>
          <w:szCs w:val="21"/>
        </w:rPr>
        <w:t>根据中英双方签署的专业协议要求，在确保各专业办学规模、质量及前景的前提下，为进一步规范西南交通大学—利兹学院（以下简称“本学院”）学生转专业管理工作，特制定本办法。</w:t>
      </w:r>
    </w:p>
    <w:p w:rsidR="003771D6" w:rsidRDefault="003771D6" w:rsidP="003771D6">
      <w:pPr>
        <w:pStyle w:val="2"/>
        <w:rPr>
          <w:rFonts w:ascii="黑体" w:eastAsia="黑体" w:hAnsi="黑体" w:cs="黑体"/>
          <w:b/>
          <w:bCs w:val="0"/>
          <w:sz w:val="21"/>
          <w:szCs w:val="21"/>
        </w:rPr>
      </w:pPr>
      <w:bookmarkStart w:id="1" w:name="_Toc453972532"/>
      <w:r>
        <w:rPr>
          <w:rFonts w:ascii="黑体" w:eastAsia="黑体" w:hAnsi="黑体" w:cs="黑体" w:hint="eastAsia"/>
          <w:b/>
          <w:sz w:val="21"/>
          <w:szCs w:val="21"/>
        </w:rPr>
        <w:t xml:space="preserve">第二章 </w:t>
      </w:r>
      <w:bookmarkEnd w:id="1"/>
      <w:r>
        <w:rPr>
          <w:rFonts w:ascii="黑体" w:eastAsia="黑体" w:hAnsi="黑体" w:cs="黑体" w:hint="eastAsia"/>
          <w:b/>
          <w:sz w:val="21"/>
          <w:szCs w:val="21"/>
        </w:rPr>
        <w:t>基本要求</w:t>
      </w:r>
    </w:p>
    <w:p w:rsidR="003771D6" w:rsidRDefault="003771D6" w:rsidP="003771D6">
      <w:pPr>
        <w:tabs>
          <w:tab w:val="left" w:pos="426"/>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Pr>
          <w:rFonts w:ascii="宋体" w:eastAsia="宋体" w:hAnsi="宋体" w:cs="宋体" w:hint="eastAsia"/>
          <w:b/>
          <w:sz w:val="21"/>
          <w:szCs w:val="21"/>
        </w:rPr>
        <w:t>第二条</w:t>
      </w:r>
      <w:r>
        <w:rPr>
          <w:rFonts w:ascii="宋体" w:eastAsia="宋体" w:hAnsi="宋体" w:cs="宋体" w:hint="eastAsia"/>
          <w:sz w:val="21"/>
          <w:szCs w:val="21"/>
        </w:rPr>
        <w:t xml:space="preserve"> 学生满足以下情况之一者，在第一学年学习结束并获得进入第二学年学习资格者可提出本学院内转专业的申请：</w:t>
      </w:r>
    </w:p>
    <w:p w:rsidR="003771D6" w:rsidRDefault="003771D6" w:rsidP="003771D6">
      <w:pPr>
        <w:tabs>
          <w:tab w:val="left" w:pos="426"/>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Pr>
          <w:rFonts w:ascii="宋体" w:eastAsia="宋体" w:hAnsi="宋体" w:cs="宋体" w:hint="eastAsia"/>
          <w:sz w:val="21"/>
          <w:szCs w:val="21"/>
        </w:rPr>
        <w:t>（一）经本学院转专业工作领导小组认可，学生确有专长，有能够证明自己专长的材料；</w:t>
      </w:r>
    </w:p>
    <w:p w:rsidR="003771D6" w:rsidRDefault="003771D6" w:rsidP="003771D6">
      <w:pPr>
        <w:tabs>
          <w:tab w:val="left" w:pos="426"/>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Pr>
          <w:rFonts w:ascii="宋体" w:eastAsia="宋体" w:hAnsi="宋体" w:cs="宋体" w:hint="eastAsia"/>
          <w:sz w:val="21"/>
          <w:szCs w:val="21"/>
        </w:rPr>
        <w:t>（二）经三</w:t>
      </w:r>
      <w:proofErr w:type="gramStart"/>
      <w:r>
        <w:rPr>
          <w:rFonts w:ascii="宋体" w:eastAsia="宋体" w:hAnsi="宋体" w:cs="宋体" w:hint="eastAsia"/>
          <w:sz w:val="21"/>
          <w:szCs w:val="21"/>
        </w:rPr>
        <w:t>甲以上</w:t>
      </w:r>
      <w:proofErr w:type="gramEnd"/>
      <w:r>
        <w:rPr>
          <w:rFonts w:ascii="宋体" w:eastAsia="宋体" w:hAnsi="宋体" w:cs="宋体" w:hint="eastAsia"/>
          <w:sz w:val="21"/>
          <w:szCs w:val="21"/>
        </w:rPr>
        <w:t>的医疗单位检查证明，学生不能在原专业学习；</w:t>
      </w:r>
    </w:p>
    <w:p w:rsidR="003771D6" w:rsidRPr="00C73E45" w:rsidRDefault="003771D6" w:rsidP="003771D6">
      <w:pPr>
        <w:tabs>
          <w:tab w:val="left" w:pos="426"/>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Pr>
          <w:rFonts w:ascii="宋体" w:eastAsia="宋体" w:hAnsi="宋体" w:cs="宋体" w:hint="eastAsia"/>
          <w:sz w:val="21"/>
          <w:szCs w:val="21"/>
        </w:rPr>
        <w:t>（三）因有某种特殊困难，不转专业则无法继续学</w:t>
      </w:r>
      <w:r w:rsidRPr="00C73E45">
        <w:rPr>
          <w:rFonts w:ascii="宋体" w:eastAsia="宋体" w:hAnsi="宋体" w:cs="宋体" w:hint="eastAsia"/>
          <w:sz w:val="21"/>
          <w:szCs w:val="21"/>
        </w:rPr>
        <w:t>习。</w:t>
      </w:r>
    </w:p>
    <w:p w:rsidR="003771D6" w:rsidRPr="00C73E45" w:rsidRDefault="003771D6" w:rsidP="003771D6">
      <w:pPr>
        <w:tabs>
          <w:tab w:val="left" w:pos="426"/>
          <w:tab w:val="left" w:pos="993"/>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t xml:space="preserve">第三条 </w:t>
      </w:r>
      <w:r w:rsidRPr="00C73E45">
        <w:rPr>
          <w:rFonts w:ascii="宋体" w:eastAsia="宋体" w:hAnsi="宋体" w:cs="宋体" w:hint="eastAsia"/>
          <w:sz w:val="21"/>
          <w:szCs w:val="21"/>
        </w:rPr>
        <w:t>满足以下全部条件的西南交通大学全日制非中外合作办学的成都校区本科新生或完成第一学年学习的本科生，可提出申请转入本学院相关专业：</w:t>
      </w:r>
    </w:p>
    <w:p w:rsidR="003771D6" w:rsidRPr="00C73E45" w:rsidRDefault="003771D6" w:rsidP="003771D6">
      <w:pPr>
        <w:pStyle w:val="11"/>
        <w:widowControl/>
        <w:tabs>
          <w:tab w:val="left" w:pos="426"/>
        </w:tabs>
        <w:adjustRightInd w:val="0"/>
        <w:snapToGrid w:val="0"/>
        <w:spacing w:beforeLines="50" w:before="120" w:afterLines="50" w:after="120" w:line="340" w:lineRule="exact"/>
        <w:contextualSpacing/>
        <w:rPr>
          <w:rFonts w:ascii="宋体" w:eastAsiaTheme="minorEastAsia" w:hAnsi="宋体" w:cs="宋体"/>
          <w:kern w:val="0"/>
          <w:sz w:val="21"/>
          <w:szCs w:val="21"/>
        </w:rPr>
      </w:pPr>
      <w:r w:rsidRPr="00C73E45">
        <w:rPr>
          <w:rFonts w:ascii="宋体" w:eastAsiaTheme="minorEastAsia" w:hAnsi="宋体" w:cs="宋体" w:hint="eastAsia"/>
          <w:kern w:val="0"/>
          <w:sz w:val="21"/>
          <w:szCs w:val="21"/>
        </w:rPr>
        <w:t>（一）积极向上，诚实守信，学风端正，无违纪受处分记录；</w:t>
      </w:r>
    </w:p>
    <w:p w:rsidR="003771D6" w:rsidRPr="00C73E45" w:rsidRDefault="003771D6" w:rsidP="003771D6">
      <w:pPr>
        <w:pStyle w:val="11"/>
        <w:widowControl/>
        <w:tabs>
          <w:tab w:val="left" w:pos="426"/>
        </w:tabs>
        <w:adjustRightInd w:val="0"/>
        <w:snapToGrid w:val="0"/>
        <w:spacing w:beforeLines="50" w:before="120" w:afterLines="50" w:after="120" w:line="340" w:lineRule="exact"/>
        <w:contextualSpacing/>
        <w:rPr>
          <w:rFonts w:ascii="宋体" w:hAnsi="宋体" w:cs="宋体"/>
          <w:sz w:val="21"/>
          <w:szCs w:val="21"/>
        </w:rPr>
      </w:pPr>
      <w:r w:rsidRPr="00C73E45">
        <w:rPr>
          <w:rFonts w:ascii="宋体" w:eastAsiaTheme="minorEastAsia" w:hAnsi="宋体" w:cs="宋体" w:hint="eastAsia"/>
          <w:kern w:val="0"/>
          <w:sz w:val="21"/>
          <w:szCs w:val="21"/>
        </w:rPr>
        <w:t>（二）学生本人有强烈的转入意愿，且其所在学院同意转出</w:t>
      </w:r>
      <w:r w:rsidRPr="00C73E45">
        <w:rPr>
          <w:rFonts w:ascii="宋体" w:hAnsi="宋体" w:cs="宋体" w:hint="eastAsia"/>
          <w:sz w:val="21"/>
          <w:szCs w:val="21"/>
        </w:rPr>
        <w:t>；</w:t>
      </w:r>
    </w:p>
    <w:p w:rsidR="003771D6" w:rsidRPr="00C73E45" w:rsidRDefault="003771D6" w:rsidP="003771D6">
      <w:pPr>
        <w:pStyle w:val="11"/>
        <w:widowControl/>
        <w:tabs>
          <w:tab w:val="left" w:pos="0"/>
        </w:tabs>
        <w:adjustRightInd w:val="0"/>
        <w:snapToGrid w:val="0"/>
        <w:spacing w:beforeLines="50" w:before="120" w:afterLines="50" w:after="120" w:line="340" w:lineRule="exact"/>
        <w:contextualSpacing/>
        <w:rPr>
          <w:rFonts w:ascii="宋体" w:eastAsiaTheme="minorEastAsia" w:hAnsi="宋体" w:cs="宋体"/>
          <w:kern w:val="0"/>
          <w:sz w:val="21"/>
          <w:szCs w:val="21"/>
        </w:rPr>
      </w:pPr>
      <w:r w:rsidRPr="00C73E45">
        <w:rPr>
          <w:rFonts w:ascii="宋体" w:hAnsi="宋体" w:cs="宋体" w:hint="eastAsia"/>
          <w:sz w:val="21"/>
          <w:szCs w:val="21"/>
        </w:rPr>
        <w:t>（三）</w:t>
      </w:r>
      <w:r w:rsidRPr="00C73E45">
        <w:rPr>
          <w:rFonts w:ascii="宋体" w:eastAsiaTheme="minorEastAsia" w:hAnsi="宋体" w:cs="宋体" w:hint="eastAsia"/>
          <w:kern w:val="0"/>
          <w:sz w:val="21"/>
          <w:szCs w:val="21"/>
        </w:rPr>
        <w:t>能够完成第一学年的课程学习并达到进入第二学年学习基本要求（</w:t>
      </w:r>
      <w:r w:rsidRPr="00C73E45">
        <w:rPr>
          <w:rFonts w:ascii="宋体" w:hAnsi="宋体" w:cs="宋体" w:hint="eastAsia"/>
          <w:sz w:val="21"/>
          <w:szCs w:val="21"/>
        </w:rPr>
        <w:t>针对完成第一学年学习的本科生</w:t>
      </w:r>
      <w:r w:rsidRPr="00C73E45">
        <w:rPr>
          <w:rFonts w:ascii="宋体" w:eastAsiaTheme="minorEastAsia" w:hAnsi="宋体" w:cs="宋体" w:hint="eastAsia"/>
          <w:kern w:val="0"/>
          <w:sz w:val="21"/>
          <w:szCs w:val="21"/>
        </w:rPr>
        <w:t>）；</w:t>
      </w:r>
    </w:p>
    <w:p w:rsidR="003771D6" w:rsidRPr="00C73E45" w:rsidRDefault="003771D6" w:rsidP="003771D6">
      <w:pPr>
        <w:spacing w:beforeLines="50" w:before="120" w:afterLines="50" w:after="120" w:line="340" w:lineRule="exact"/>
        <w:ind w:firstLineChars="200" w:firstLine="420"/>
        <w:jc w:val="both"/>
        <w:rPr>
          <w:rFonts w:ascii="宋体" w:hAnsi="宋体" w:cs="宋体"/>
          <w:sz w:val="21"/>
          <w:szCs w:val="21"/>
        </w:rPr>
      </w:pPr>
      <w:r w:rsidRPr="00C73E45">
        <w:rPr>
          <w:rFonts w:ascii="宋体" w:hAnsi="宋体" w:cs="宋体" w:hint="eastAsia"/>
          <w:sz w:val="21"/>
          <w:szCs w:val="21"/>
        </w:rPr>
        <w:t>（四）申请人自愿按照本学院学费收取标准缴纳学费，具体学费信息见本学院网站；</w:t>
      </w:r>
    </w:p>
    <w:p w:rsidR="003771D6" w:rsidRPr="00C73E45" w:rsidRDefault="003771D6" w:rsidP="003771D6">
      <w:pPr>
        <w:pStyle w:val="11"/>
        <w:widowControl/>
        <w:tabs>
          <w:tab w:val="left" w:pos="426"/>
        </w:tabs>
        <w:adjustRightInd w:val="0"/>
        <w:snapToGrid w:val="0"/>
        <w:spacing w:beforeLines="50" w:before="120" w:afterLines="50" w:after="120" w:line="340" w:lineRule="exact"/>
        <w:contextualSpacing/>
        <w:rPr>
          <w:rFonts w:ascii="宋体" w:hAnsi="宋体" w:cs="宋体"/>
          <w:sz w:val="21"/>
          <w:szCs w:val="21"/>
        </w:rPr>
      </w:pPr>
      <w:r w:rsidRPr="00C73E45">
        <w:rPr>
          <w:rFonts w:ascii="宋体" w:hAnsi="宋体" w:cs="宋体" w:hint="eastAsia"/>
          <w:sz w:val="21"/>
          <w:szCs w:val="21"/>
        </w:rPr>
        <w:t>（五）高考英语成绩达到满分的75%以上（针对本科新生）；学生本人具有英语语言基础，有证明自己能够达到本学院语言学习要求的材料（针对完成第一学年学习的本科生）；</w:t>
      </w:r>
    </w:p>
    <w:p w:rsidR="003771D6" w:rsidRPr="00C73E45" w:rsidRDefault="003771D6" w:rsidP="003771D6">
      <w:pPr>
        <w:tabs>
          <w:tab w:val="left" w:pos="426"/>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（六）学生本人能够承受本学院的课业压力。</w:t>
      </w:r>
    </w:p>
    <w:p w:rsidR="003771D6" w:rsidRPr="00C73E45" w:rsidRDefault="003771D6" w:rsidP="003771D6">
      <w:pPr>
        <w:tabs>
          <w:tab w:val="left" w:pos="426"/>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 xml:space="preserve"> 获准转入本学院学习的全日制非中外合作办学的成都校区本科生，需签订转入协议并接受一切本学院的培养要求及学生规范。</w:t>
      </w:r>
    </w:p>
    <w:p w:rsidR="003771D6" w:rsidRPr="00C73E45" w:rsidRDefault="003771D6" w:rsidP="003771D6">
      <w:pPr>
        <w:tabs>
          <w:tab w:val="left" w:pos="426"/>
        </w:tabs>
        <w:adjustRightInd w:val="0"/>
        <w:snapToGrid w:val="0"/>
        <w:spacing w:beforeLines="50" w:before="120" w:afterLines="50" w:after="120" w:line="340" w:lineRule="exact"/>
        <w:jc w:val="both"/>
        <w:rPr>
          <w:rFonts w:ascii="宋体" w:eastAsia="宋体" w:hAnsi="宋体" w:cs="宋体"/>
          <w:sz w:val="21"/>
          <w:szCs w:val="21"/>
        </w:rPr>
      </w:pPr>
      <w:r w:rsidRPr="00C73E45">
        <w:rPr>
          <w:rFonts w:ascii="宋体" w:eastAsia="宋体" w:hAnsi="宋体" w:cs="宋体"/>
          <w:sz w:val="21"/>
          <w:szCs w:val="21"/>
        </w:rPr>
        <w:t xml:space="preserve">     </w:t>
      </w:r>
      <w:r w:rsidRPr="00C73E45">
        <w:rPr>
          <w:rFonts w:ascii="宋体" w:eastAsia="宋体" w:hAnsi="宋体" w:cs="宋体" w:hint="eastAsia"/>
          <w:sz w:val="21"/>
          <w:szCs w:val="21"/>
        </w:rPr>
        <w:t>第四条 下列情况之一，</w:t>
      </w:r>
      <w:r w:rsidRPr="00C73E45">
        <w:rPr>
          <w:rFonts w:ascii="宋体" w:eastAsia="宋体" w:hAnsi="宋体" w:cs="宋体"/>
          <w:sz w:val="21"/>
          <w:szCs w:val="21"/>
        </w:rPr>
        <w:t>不接受</w:t>
      </w:r>
      <w:r w:rsidRPr="00C73E45">
        <w:rPr>
          <w:rFonts w:ascii="宋体" w:eastAsia="宋体" w:hAnsi="宋体" w:cs="宋体" w:hint="eastAsia"/>
          <w:sz w:val="21"/>
          <w:szCs w:val="21"/>
        </w:rPr>
        <w:t>转专业申请：</w:t>
      </w:r>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参加高考文科考试学生申请转入者；</w:t>
      </w:r>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艺术类专业学生申请转入者；</w:t>
      </w:r>
      <w:bookmarkStart w:id="2" w:name="_GoBack"/>
      <w:bookmarkEnd w:id="2"/>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外国语中学推荐保送录取的学生申请转入者；</w:t>
      </w:r>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入学未满一学期者；</w:t>
      </w:r>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属联合培养、</w:t>
      </w:r>
      <w:r w:rsidRPr="00C73E45">
        <w:rPr>
          <w:rFonts w:ascii="宋体" w:eastAsia="宋体" w:hAnsi="宋体" w:cs="宋体"/>
          <w:sz w:val="21"/>
          <w:szCs w:val="21"/>
        </w:rPr>
        <w:t>委托</w:t>
      </w:r>
      <w:r w:rsidRPr="00C73E45">
        <w:rPr>
          <w:rFonts w:ascii="宋体" w:eastAsia="宋体" w:hAnsi="宋体" w:cs="宋体" w:hint="eastAsia"/>
          <w:sz w:val="21"/>
          <w:szCs w:val="21"/>
        </w:rPr>
        <w:t>培养、</w:t>
      </w:r>
      <w:r w:rsidRPr="00C73E45">
        <w:rPr>
          <w:rFonts w:ascii="宋体" w:eastAsia="宋体" w:hAnsi="宋体" w:cs="宋体"/>
          <w:sz w:val="21"/>
          <w:szCs w:val="21"/>
        </w:rPr>
        <w:t>定向</w:t>
      </w:r>
      <w:r w:rsidRPr="00C73E45">
        <w:rPr>
          <w:rFonts w:ascii="宋体" w:eastAsia="宋体" w:hAnsi="宋体" w:cs="宋体" w:hint="eastAsia"/>
          <w:sz w:val="21"/>
          <w:szCs w:val="21"/>
        </w:rPr>
        <w:t>学生；</w:t>
      </w:r>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正在休学或保留学籍的学生；</w:t>
      </w:r>
    </w:p>
    <w:p w:rsidR="003771D6" w:rsidRPr="00C73E45" w:rsidRDefault="003771D6" w:rsidP="003771D6">
      <w:pPr>
        <w:pStyle w:val="a3"/>
        <w:numPr>
          <w:ilvl w:val="0"/>
          <w:numId w:val="1"/>
        </w:numPr>
        <w:tabs>
          <w:tab w:val="left" w:pos="426"/>
        </w:tabs>
        <w:adjustRightInd w:val="0"/>
        <w:snapToGrid w:val="0"/>
        <w:spacing w:beforeLines="50" w:before="120" w:afterLines="50" w:after="120" w:line="340" w:lineRule="exact"/>
        <w:ind w:firstLineChars="0"/>
        <w:jc w:val="both"/>
        <w:rPr>
          <w:rFonts w:ascii="宋体" w:eastAsia="宋体" w:hAnsi="宋体" w:cs="宋体"/>
          <w:sz w:val="21"/>
          <w:szCs w:val="21"/>
        </w:rPr>
      </w:pPr>
      <w:r w:rsidRPr="00C73E45">
        <w:rPr>
          <w:rFonts w:ascii="宋体" w:eastAsia="宋体" w:hAnsi="宋体" w:cs="宋体" w:hint="eastAsia"/>
          <w:sz w:val="21"/>
          <w:szCs w:val="21"/>
        </w:rPr>
        <w:t>应</w:t>
      </w:r>
      <w:proofErr w:type="gramStart"/>
      <w:r w:rsidRPr="00C73E45">
        <w:rPr>
          <w:rFonts w:ascii="宋体" w:eastAsia="宋体" w:hAnsi="宋体" w:cs="宋体" w:hint="eastAsia"/>
          <w:sz w:val="21"/>
          <w:szCs w:val="21"/>
        </w:rPr>
        <w:t>予退</w:t>
      </w:r>
      <w:proofErr w:type="gramEnd"/>
      <w:r w:rsidRPr="00C73E45">
        <w:rPr>
          <w:rFonts w:ascii="宋体" w:eastAsia="宋体" w:hAnsi="宋体" w:cs="宋体" w:hint="eastAsia"/>
          <w:sz w:val="21"/>
          <w:szCs w:val="21"/>
        </w:rPr>
        <w:t>学的学生。</w:t>
      </w:r>
    </w:p>
    <w:p w:rsidR="003771D6" w:rsidRPr="00C73E45" w:rsidRDefault="003771D6" w:rsidP="003771D6">
      <w:pPr>
        <w:pStyle w:val="2"/>
        <w:rPr>
          <w:rFonts w:ascii="黑体" w:eastAsia="黑体" w:hAnsi="黑体" w:cs="黑体"/>
          <w:b/>
          <w:sz w:val="21"/>
          <w:szCs w:val="21"/>
        </w:rPr>
      </w:pPr>
      <w:r w:rsidRPr="00C73E45">
        <w:rPr>
          <w:rFonts w:ascii="黑体" w:eastAsia="黑体" w:hAnsi="黑体" w:cs="黑体" w:hint="eastAsia"/>
          <w:b/>
          <w:sz w:val="21"/>
          <w:szCs w:val="21"/>
        </w:rPr>
        <w:t>第三章</w:t>
      </w:r>
      <w:r w:rsidRPr="00C73E45">
        <w:rPr>
          <w:rFonts w:ascii="黑体" w:eastAsia="黑体" w:hAnsi="黑体" w:cs="黑体"/>
          <w:b/>
          <w:sz w:val="21"/>
          <w:szCs w:val="21"/>
        </w:rPr>
        <w:t xml:space="preserve">  </w:t>
      </w:r>
      <w:r w:rsidRPr="00C73E45">
        <w:rPr>
          <w:rFonts w:ascii="黑体" w:eastAsia="黑体" w:hAnsi="黑体" w:cs="黑体" w:hint="eastAsia"/>
          <w:b/>
          <w:sz w:val="21"/>
          <w:szCs w:val="21"/>
        </w:rPr>
        <w:t>管理和实施</w:t>
      </w:r>
    </w:p>
    <w:p w:rsidR="003771D6" w:rsidRPr="00C73E45" w:rsidRDefault="003771D6" w:rsidP="003771D6">
      <w:pPr>
        <w:tabs>
          <w:tab w:val="left" w:pos="993"/>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t xml:space="preserve">第五条 </w:t>
      </w:r>
      <w:r w:rsidR="008616A1" w:rsidRPr="00C73E45">
        <w:rPr>
          <w:rFonts w:ascii="宋体" w:eastAsia="宋体" w:hAnsi="宋体" w:cs="宋体" w:hint="eastAsia"/>
          <w:sz w:val="21"/>
          <w:szCs w:val="21"/>
        </w:rPr>
        <w:t>在符合</w:t>
      </w:r>
      <w:r w:rsidRPr="00C73E45">
        <w:rPr>
          <w:rFonts w:ascii="宋体" w:eastAsia="宋体" w:hAnsi="宋体" w:cs="宋体" w:hint="eastAsia"/>
          <w:sz w:val="21"/>
          <w:szCs w:val="21"/>
        </w:rPr>
        <w:t>西南交通大学和</w:t>
      </w:r>
      <w:proofErr w:type="gramStart"/>
      <w:r w:rsidRPr="00C73E45">
        <w:rPr>
          <w:rFonts w:ascii="宋体" w:eastAsia="宋体" w:hAnsi="宋体" w:cs="宋体" w:hint="eastAsia"/>
          <w:sz w:val="21"/>
          <w:szCs w:val="21"/>
        </w:rPr>
        <w:t>利兹</w:t>
      </w:r>
      <w:proofErr w:type="gramEnd"/>
      <w:r w:rsidRPr="00C73E45">
        <w:rPr>
          <w:rFonts w:ascii="宋体" w:eastAsia="宋体" w:hAnsi="宋体" w:cs="宋体" w:hint="eastAsia"/>
          <w:sz w:val="21"/>
          <w:szCs w:val="21"/>
        </w:rPr>
        <w:t>大学的相关学籍管理规定前提下，转专业工作由本学院负责具体实施。</w:t>
      </w:r>
    </w:p>
    <w:p w:rsidR="003771D6" w:rsidRPr="00C73E45" w:rsidRDefault="003771D6" w:rsidP="003771D6">
      <w:pPr>
        <w:adjustRightInd w:val="0"/>
        <w:snapToGrid w:val="0"/>
        <w:spacing w:beforeLines="50" w:before="120" w:afterLines="50" w:after="120"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lastRenderedPageBreak/>
        <w:t xml:space="preserve">第六条 </w:t>
      </w:r>
      <w:r w:rsidRPr="00C73E45">
        <w:rPr>
          <w:rFonts w:ascii="宋体" w:eastAsia="宋体" w:hAnsi="宋体" w:cs="宋体" w:hint="eastAsia"/>
          <w:sz w:val="21"/>
          <w:szCs w:val="21"/>
        </w:rPr>
        <w:t>本学院成立转专业工作领导小组，实行双组长制：学院直属党支部书记、院长为组长，成员包含学院执行院长、副院长、各专业负责人、副负责人。</w:t>
      </w:r>
    </w:p>
    <w:p w:rsidR="003771D6" w:rsidRPr="00C73E45" w:rsidRDefault="003771D6" w:rsidP="003771D6">
      <w:pPr>
        <w:adjustRightInd w:val="0"/>
        <w:snapToGrid w:val="0"/>
        <w:spacing w:beforeLines="50" w:before="120" w:afterLines="10" w:after="24"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t xml:space="preserve">第七条 </w:t>
      </w:r>
      <w:r w:rsidRPr="00C73E45">
        <w:rPr>
          <w:rFonts w:ascii="宋体" w:eastAsia="宋体" w:hAnsi="宋体" w:cs="宋体" w:hint="eastAsia"/>
          <w:sz w:val="21"/>
          <w:szCs w:val="21"/>
        </w:rPr>
        <w:t>本学院学生一般应在被录取的专业完成学业，在满足相关条件下允许学院内转专业，不允许转入本学院以外西南交通大学其他专业学习。</w:t>
      </w:r>
    </w:p>
    <w:p w:rsidR="003771D6" w:rsidRPr="00C73E45" w:rsidRDefault="003771D6" w:rsidP="003771D6">
      <w:pPr>
        <w:adjustRightInd w:val="0"/>
        <w:snapToGrid w:val="0"/>
        <w:spacing w:beforeLines="50" w:before="120" w:afterLines="10" w:after="24"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t xml:space="preserve">第八条 </w:t>
      </w:r>
      <w:r w:rsidRPr="00C73E45">
        <w:rPr>
          <w:rFonts w:ascii="宋体" w:eastAsia="宋体" w:hAnsi="宋体" w:cs="宋体" w:hint="eastAsia"/>
          <w:sz w:val="21"/>
          <w:szCs w:val="21"/>
        </w:rPr>
        <w:t>在办学规模允许的前提下，可以在新生入学期间和第一学年结束时从利兹学院办学所在地面向全校全日制非中外合作办学的本科生中进行选拔而转入本学院学习。</w:t>
      </w:r>
    </w:p>
    <w:p w:rsidR="003771D6" w:rsidRPr="00C73E45" w:rsidRDefault="003771D6" w:rsidP="003771D6">
      <w:pPr>
        <w:tabs>
          <w:tab w:val="left" w:pos="880"/>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t xml:space="preserve">第九条 </w:t>
      </w:r>
      <w:r w:rsidRPr="00C73E45">
        <w:rPr>
          <w:rFonts w:ascii="宋体" w:eastAsia="宋体" w:hAnsi="宋体" w:cs="宋体" w:hint="eastAsia"/>
          <w:sz w:val="21"/>
          <w:szCs w:val="21"/>
        </w:rPr>
        <w:t>在办学规模允许的前提下，本学院学生可以在完成第一学年学习时申请转入本学院内部的其它专业，优先次序按照学生的学习成绩排序，各专业办学规模以当年高考招生计划人数为准。</w:t>
      </w:r>
    </w:p>
    <w:p w:rsidR="003771D6" w:rsidRPr="00C73E45" w:rsidRDefault="003771D6" w:rsidP="003771D6">
      <w:pPr>
        <w:tabs>
          <w:tab w:val="left" w:pos="851"/>
          <w:tab w:val="left" w:pos="1418"/>
          <w:tab w:val="left" w:pos="1701"/>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sidRPr="00C73E45">
        <w:rPr>
          <w:rFonts w:ascii="宋体" w:eastAsia="宋体" w:hAnsi="宋体" w:cs="宋体" w:hint="eastAsia"/>
          <w:b/>
          <w:sz w:val="21"/>
          <w:szCs w:val="21"/>
        </w:rPr>
        <w:t xml:space="preserve">第十条 </w:t>
      </w:r>
      <w:r w:rsidRPr="00C73E45">
        <w:rPr>
          <w:rFonts w:ascii="宋体" w:eastAsia="宋体" w:hAnsi="宋体" w:cs="宋体" w:hint="eastAsia"/>
          <w:sz w:val="21"/>
          <w:szCs w:val="21"/>
        </w:rPr>
        <w:t>转专业申请及审批程序</w:t>
      </w:r>
    </w:p>
    <w:p w:rsidR="003771D6" w:rsidRPr="00C73E45" w:rsidRDefault="003771D6" w:rsidP="003771D6">
      <w:pPr>
        <w:tabs>
          <w:tab w:val="left" w:pos="567"/>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第一步：学生向本学院学生支持中心递交申请；</w:t>
      </w:r>
    </w:p>
    <w:p w:rsidR="003771D6" w:rsidRPr="00C73E45" w:rsidRDefault="003771D6" w:rsidP="003771D6">
      <w:pPr>
        <w:tabs>
          <w:tab w:val="left" w:pos="567"/>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第二步：本学院将组建评审专家组，通过材料审核、组织面试、专家评审三个环节选拔学生；</w:t>
      </w:r>
    </w:p>
    <w:p w:rsidR="003771D6" w:rsidRPr="00C73E45" w:rsidRDefault="003771D6" w:rsidP="003771D6">
      <w:pPr>
        <w:tabs>
          <w:tab w:val="left" w:pos="567"/>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第三步：本学院转专业工作领导小组讨论并审核选拔结果；</w:t>
      </w:r>
    </w:p>
    <w:p w:rsidR="003771D6" w:rsidRPr="00C73E45" w:rsidRDefault="003771D6" w:rsidP="003771D6">
      <w:pPr>
        <w:tabs>
          <w:tab w:val="left" w:pos="567"/>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第四步：本学院学生支持中心公示获批的学生名单并在公示无异议</w:t>
      </w:r>
      <w:proofErr w:type="gramStart"/>
      <w:r w:rsidRPr="00C73E45">
        <w:rPr>
          <w:rFonts w:ascii="宋体" w:eastAsia="宋体" w:hAnsi="宋体" w:cs="宋体" w:hint="eastAsia"/>
          <w:sz w:val="21"/>
          <w:szCs w:val="21"/>
        </w:rPr>
        <w:t>后报利兹</w:t>
      </w:r>
      <w:proofErr w:type="gramEnd"/>
      <w:r w:rsidRPr="00C73E45">
        <w:rPr>
          <w:rFonts w:ascii="宋体" w:eastAsia="宋体" w:hAnsi="宋体" w:cs="宋体" w:hint="eastAsia"/>
          <w:sz w:val="21"/>
          <w:szCs w:val="21"/>
        </w:rPr>
        <w:t>大学及西南交通大学教务处；</w:t>
      </w:r>
    </w:p>
    <w:p w:rsidR="003771D6" w:rsidRPr="00C73E45" w:rsidRDefault="003771D6" w:rsidP="003771D6">
      <w:pPr>
        <w:tabs>
          <w:tab w:val="left" w:pos="567"/>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第五步：西南交通大学教务处对转专业拟接收名单进行汇总审核，经主管校领导批准后，通过</w:t>
      </w:r>
      <w:proofErr w:type="gramStart"/>
      <w:r w:rsidRPr="00C73E45">
        <w:rPr>
          <w:rFonts w:ascii="宋体" w:eastAsia="宋体" w:hAnsi="宋体" w:cs="宋体" w:hint="eastAsia"/>
          <w:sz w:val="21"/>
          <w:szCs w:val="21"/>
        </w:rPr>
        <w:t>教务网</w:t>
      </w:r>
      <w:proofErr w:type="gramEnd"/>
      <w:r w:rsidRPr="00C73E45">
        <w:rPr>
          <w:rFonts w:ascii="宋体" w:eastAsia="宋体" w:hAnsi="宋体" w:cs="宋体" w:hint="eastAsia"/>
          <w:sz w:val="21"/>
          <w:szCs w:val="21"/>
        </w:rPr>
        <w:t>公示获准转专业学生名单，并做好学籍变动记录，转专业名单送学生处、档案馆等单位。同时，利兹大学审核公示名单并完成相关学生学籍变动记录；</w:t>
      </w:r>
    </w:p>
    <w:p w:rsidR="003771D6" w:rsidRPr="00C73E45" w:rsidRDefault="003771D6" w:rsidP="003771D6">
      <w:pPr>
        <w:tabs>
          <w:tab w:val="left" w:pos="567"/>
        </w:tabs>
        <w:adjustRightInd w:val="0"/>
        <w:snapToGrid w:val="0"/>
        <w:spacing w:beforeLines="50" w:before="120" w:afterLines="50" w:after="120" w:line="340" w:lineRule="exact"/>
        <w:ind w:firstLineChars="200" w:firstLine="420"/>
        <w:jc w:val="both"/>
        <w:rPr>
          <w:rFonts w:ascii="宋体" w:eastAsia="宋体" w:hAnsi="宋体" w:cs="宋体"/>
          <w:sz w:val="21"/>
          <w:szCs w:val="21"/>
        </w:rPr>
      </w:pPr>
      <w:r w:rsidRPr="00C73E45">
        <w:rPr>
          <w:rFonts w:ascii="宋体" w:eastAsia="宋体" w:hAnsi="宋体" w:cs="宋体" w:hint="eastAsia"/>
          <w:sz w:val="21"/>
          <w:szCs w:val="21"/>
        </w:rPr>
        <w:t>第六步：获</w:t>
      </w:r>
      <w:proofErr w:type="gramStart"/>
      <w:r w:rsidRPr="00C73E45">
        <w:rPr>
          <w:rFonts w:ascii="宋体" w:eastAsia="宋体" w:hAnsi="宋体" w:cs="宋体" w:hint="eastAsia"/>
          <w:sz w:val="21"/>
          <w:szCs w:val="21"/>
        </w:rPr>
        <w:t>批学生办理完其他</w:t>
      </w:r>
      <w:proofErr w:type="gramEnd"/>
      <w:r w:rsidRPr="00C73E45">
        <w:rPr>
          <w:rFonts w:ascii="宋体" w:eastAsia="宋体" w:hAnsi="宋体" w:cs="宋体" w:hint="eastAsia"/>
          <w:sz w:val="21"/>
          <w:szCs w:val="21"/>
        </w:rPr>
        <w:t>学籍管理手续，并联系个人导师确认新的培养方案及选课等。</w:t>
      </w:r>
    </w:p>
    <w:p w:rsidR="003771D6" w:rsidRPr="00C73E45" w:rsidRDefault="003771D6" w:rsidP="003771D6">
      <w:pPr>
        <w:tabs>
          <w:tab w:val="left" w:pos="567"/>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sidRPr="00C73E45">
        <w:rPr>
          <w:rFonts w:ascii="宋体" w:eastAsia="宋体" w:hAnsi="宋体" w:cs="宋体" w:hint="eastAsia"/>
          <w:b/>
          <w:bCs/>
          <w:sz w:val="21"/>
          <w:szCs w:val="21"/>
        </w:rPr>
        <w:t>第十一条</w:t>
      </w:r>
      <w:r w:rsidRPr="00C73E45">
        <w:rPr>
          <w:rFonts w:ascii="宋体" w:eastAsia="宋体" w:hAnsi="宋体" w:cs="宋体" w:hint="eastAsia"/>
          <w:sz w:val="21"/>
          <w:szCs w:val="21"/>
        </w:rPr>
        <w:t xml:space="preserve"> 学生申请转专业后，如需要撤销转专业申请，应在参加本学院转专业考核前（即第二步发生以前）提出。</w:t>
      </w:r>
    </w:p>
    <w:p w:rsidR="003771D6" w:rsidRPr="00C73E45" w:rsidRDefault="003771D6" w:rsidP="003771D6">
      <w:pPr>
        <w:pStyle w:val="2"/>
        <w:rPr>
          <w:rFonts w:ascii="黑体" w:eastAsia="黑体" w:hAnsi="黑体" w:cs="黑体"/>
          <w:b/>
          <w:sz w:val="21"/>
          <w:szCs w:val="21"/>
        </w:rPr>
      </w:pPr>
      <w:r w:rsidRPr="00C73E45">
        <w:rPr>
          <w:rFonts w:ascii="黑体" w:eastAsia="黑体" w:hAnsi="黑体" w:cs="黑体" w:hint="eastAsia"/>
          <w:b/>
          <w:sz w:val="21"/>
          <w:szCs w:val="21"/>
        </w:rPr>
        <w:t>第四章</w:t>
      </w:r>
      <w:r w:rsidRPr="00C73E45">
        <w:rPr>
          <w:rFonts w:ascii="黑体" w:eastAsia="黑体" w:hAnsi="黑体" w:cs="黑体"/>
          <w:b/>
          <w:sz w:val="21"/>
          <w:szCs w:val="21"/>
        </w:rPr>
        <w:t xml:space="preserve">  </w:t>
      </w:r>
      <w:r w:rsidRPr="00C73E45">
        <w:rPr>
          <w:rFonts w:ascii="黑体" w:eastAsia="黑体" w:hAnsi="黑体" w:cs="黑体" w:hint="eastAsia"/>
          <w:b/>
          <w:sz w:val="21"/>
          <w:szCs w:val="21"/>
        </w:rPr>
        <w:t>申诉与仲裁</w:t>
      </w:r>
    </w:p>
    <w:p w:rsidR="003771D6" w:rsidRPr="00C73E45" w:rsidRDefault="003771D6" w:rsidP="003771D6">
      <w:pPr>
        <w:tabs>
          <w:tab w:val="left" w:pos="426"/>
        </w:tabs>
        <w:adjustRightInd w:val="0"/>
        <w:snapToGrid w:val="0"/>
        <w:spacing w:beforeLines="50" w:before="120" w:afterLines="50" w:after="120" w:line="340" w:lineRule="exact"/>
        <w:ind w:firstLineChars="200" w:firstLine="422"/>
        <w:jc w:val="both"/>
        <w:rPr>
          <w:rFonts w:ascii="Times New Roman" w:hAnsi="Times New Roman" w:cs="Times New Roman"/>
          <w:sz w:val="21"/>
          <w:szCs w:val="21"/>
        </w:rPr>
      </w:pPr>
      <w:r w:rsidRPr="00C73E45">
        <w:rPr>
          <w:rFonts w:ascii="宋体" w:eastAsia="宋体" w:hAnsi="宋体" w:cs="宋体" w:hint="eastAsia"/>
          <w:b/>
          <w:bCs/>
          <w:sz w:val="21"/>
          <w:szCs w:val="21"/>
        </w:rPr>
        <w:t xml:space="preserve">第十二条 </w:t>
      </w:r>
      <w:r w:rsidRPr="00C73E45">
        <w:rPr>
          <w:rFonts w:ascii="宋体" w:eastAsia="宋体" w:hAnsi="宋体" w:cs="宋体" w:hint="eastAsia"/>
          <w:sz w:val="21"/>
          <w:szCs w:val="21"/>
        </w:rPr>
        <w:t>学生对转专业结果如有异议，可向本学院学生支持中心提出申诉，由西南交通大学-</w:t>
      </w:r>
      <w:r w:rsidRPr="00C73E45">
        <w:rPr>
          <w:rFonts w:ascii="宋体" w:eastAsia="宋体" w:hAnsi="宋体" w:cs="宋体"/>
          <w:sz w:val="21"/>
          <w:szCs w:val="21"/>
        </w:rPr>
        <w:t>利兹</w:t>
      </w:r>
      <w:r w:rsidRPr="00C73E45">
        <w:rPr>
          <w:rFonts w:ascii="宋体" w:eastAsia="宋体" w:hAnsi="宋体" w:cs="宋体" w:hint="eastAsia"/>
          <w:sz w:val="21"/>
          <w:szCs w:val="21"/>
        </w:rPr>
        <w:t>学院学术委员会裁决。具体实施请见</w:t>
      </w:r>
      <w:r w:rsidRPr="00C73E45">
        <w:rPr>
          <w:rFonts w:hint="eastAsia"/>
          <w:sz w:val="21"/>
          <w:szCs w:val="21"/>
        </w:rPr>
        <w:t>《</w:t>
      </w:r>
      <w:r w:rsidRPr="00C73E45">
        <w:rPr>
          <w:rFonts w:asciiTheme="majorEastAsia" w:eastAsiaTheme="majorEastAsia" w:hAnsiTheme="majorEastAsia" w:cs="宋体" w:hint="eastAsia"/>
          <w:sz w:val="21"/>
          <w:szCs w:val="21"/>
        </w:rPr>
        <w:t>西南交通大学—利兹学院、利兹大学工学部考核工作守则</w:t>
      </w:r>
      <w:r w:rsidRPr="00C73E45">
        <w:rPr>
          <w:rFonts w:hint="eastAsia"/>
          <w:sz w:val="21"/>
          <w:szCs w:val="21"/>
        </w:rPr>
        <w:t>》</w:t>
      </w:r>
      <w:r w:rsidRPr="00C73E45">
        <w:rPr>
          <w:rFonts w:ascii="宋体" w:eastAsia="宋体" w:hAnsi="宋体" w:cs="宋体" w:hint="eastAsia"/>
          <w:sz w:val="21"/>
          <w:szCs w:val="21"/>
        </w:rPr>
        <w:t>。</w:t>
      </w:r>
    </w:p>
    <w:p w:rsidR="003771D6" w:rsidRPr="00C73E45" w:rsidRDefault="003771D6" w:rsidP="003771D6">
      <w:pPr>
        <w:pStyle w:val="2"/>
        <w:rPr>
          <w:rFonts w:ascii="黑体" w:eastAsia="黑体" w:hAnsi="黑体" w:cs="黑体"/>
          <w:b/>
          <w:sz w:val="21"/>
          <w:szCs w:val="21"/>
        </w:rPr>
      </w:pPr>
      <w:r w:rsidRPr="00C73E45">
        <w:rPr>
          <w:rFonts w:ascii="黑体" w:eastAsia="黑体" w:hAnsi="黑体" w:cs="黑体" w:hint="eastAsia"/>
          <w:b/>
          <w:sz w:val="21"/>
          <w:szCs w:val="21"/>
        </w:rPr>
        <w:t>第五章</w:t>
      </w:r>
      <w:r w:rsidRPr="00C73E45">
        <w:rPr>
          <w:rFonts w:ascii="黑体" w:eastAsia="黑体" w:hAnsi="黑体" w:cs="黑体"/>
          <w:b/>
          <w:sz w:val="21"/>
          <w:szCs w:val="21"/>
        </w:rPr>
        <w:t xml:space="preserve">  </w:t>
      </w:r>
      <w:r w:rsidRPr="00C73E45">
        <w:rPr>
          <w:rFonts w:ascii="黑体" w:eastAsia="黑体" w:hAnsi="黑体" w:cs="黑体" w:hint="eastAsia"/>
          <w:b/>
          <w:sz w:val="21"/>
          <w:szCs w:val="21"/>
        </w:rPr>
        <w:t>附则</w:t>
      </w:r>
    </w:p>
    <w:p w:rsidR="003771D6" w:rsidRDefault="003771D6" w:rsidP="003771D6">
      <w:pPr>
        <w:tabs>
          <w:tab w:val="left" w:pos="284"/>
          <w:tab w:val="left" w:pos="567"/>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Pr>
          <w:rFonts w:ascii="宋体" w:eastAsia="宋体" w:hAnsi="宋体" w:cs="宋体" w:hint="eastAsia"/>
          <w:b/>
          <w:bCs/>
          <w:sz w:val="21"/>
          <w:szCs w:val="21"/>
        </w:rPr>
        <w:t>第十二条</w:t>
      </w:r>
      <w:r>
        <w:rPr>
          <w:rFonts w:ascii="Times New Roman" w:hAnsi="Times New Roman" w:cs="Times New Roman" w:hint="eastAsia"/>
          <w:b/>
          <w:sz w:val="21"/>
          <w:szCs w:val="21"/>
        </w:rPr>
        <w:t xml:space="preserve"> </w:t>
      </w:r>
      <w:r>
        <w:rPr>
          <w:rFonts w:ascii="宋体" w:eastAsia="宋体" w:hAnsi="宋体" w:cs="宋体" w:hint="eastAsia"/>
          <w:sz w:val="21"/>
          <w:szCs w:val="21"/>
        </w:rPr>
        <w:t>本管理办法及实施细则</w:t>
      </w:r>
      <w:r>
        <w:rPr>
          <w:rFonts w:ascii="宋体" w:eastAsia="宋体" w:hAnsi="宋体" w:cs="宋体"/>
          <w:sz w:val="21"/>
          <w:szCs w:val="21"/>
        </w:rPr>
        <w:t>经</w:t>
      </w:r>
      <w:r>
        <w:rPr>
          <w:rFonts w:ascii="宋体" w:eastAsia="宋体" w:hAnsi="宋体" w:cs="宋体" w:hint="eastAsia"/>
          <w:sz w:val="21"/>
          <w:szCs w:val="21"/>
        </w:rPr>
        <w:t>西南交通大学</w:t>
      </w:r>
      <w:r>
        <w:rPr>
          <w:rFonts w:ascii="宋体" w:eastAsia="宋体" w:hAnsi="宋体" w:cs="宋体"/>
          <w:sz w:val="21"/>
          <w:szCs w:val="21"/>
        </w:rPr>
        <w:t>校长办公会议通过后执行。</w:t>
      </w:r>
    </w:p>
    <w:p w:rsidR="003771D6" w:rsidRDefault="003771D6" w:rsidP="003771D6">
      <w:pPr>
        <w:tabs>
          <w:tab w:val="left" w:pos="284"/>
          <w:tab w:val="left" w:pos="567"/>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Pr>
          <w:rFonts w:ascii="宋体" w:eastAsia="宋体" w:hAnsi="宋体" w:cs="宋体" w:hint="eastAsia"/>
          <w:b/>
          <w:bCs/>
          <w:sz w:val="21"/>
          <w:szCs w:val="21"/>
        </w:rPr>
        <w:t>第十三条</w:t>
      </w:r>
      <w:r>
        <w:rPr>
          <w:rFonts w:ascii="Times New Roman" w:hAnsi="Times New Roman" w:cs="Times New Roman" w:hint="eastAsia"/>
          <w:b/>
          <w:sz w:val="21"/>
          <w:szCs w:val="21"/>
        </w:rPr>
        <w:t xml:space="preserve"> </w:t>
      </w:r>
      <w:r>
        <w:rPr>
          <w:rFonts w:asciiTheme="minorEastAsia" w:hAnsiTheme="minorEastAsia" w:cs="宋体"/>
          <w:sz w:val="21"/>
          <w:szCs w:val="21"/>
        </w:rPr>
        <w:t>本</w:t>
      </w:r>
      <w:r>
        <w:rPr>
          <w:rFonts w:ascii="宋体" w:eastAsia="宋体" w:hAnsi="宋体" w:cs="宋体" w:hint="eastAsia"/>
          <w:sz w:val="21"/>
          <w:szCs w:val="21"/>
        </w:rPr>
        <w:t>管理办法及实施细则</w:t>
      </w:r>
      <w:r>
        <w:rPr>
          <w:rFonts w:asciiTheme="minorEastAsia" w:hAnsiTheme="minorEastAsia" w:cs="宋体" w:hint="eastAsia"/>
          <w:sz w:val="21"/>
          <w:szCs w:val="21"/>
        </w:rPr>
        <w:t>为《</w:t>
      </w:r>
      <w:r>
        <w:rPr>
          <w:rFonts w:ascii="宋体" w:eastAsia="宋体" w:hAnsi="宋体" w:cs="宋体" w:hint="eastAsia"/>
          <w:sz w:val="21"/>
          <w:szCs w:val="21"/>
        </w:rPr>
        <w:t>西南交通大学本科生转专业实施办法</w:t>
      </w:r>
      <w:r>
        <w:rPr>
          <w:rFonts w:asciiTheme="minorEastAsia" w:hAnsiTheme="minorEastAsia" w:cs="宋体" w:hint="eastAsia"/>
          <w:sz w:val="21"/>
          <w:szCs w:val="21"/>
        </w:rPr>
        <w:t>》的补充，其</w:t>
      </w:r>
      <w:r>
        <w:rPr>
          <w:rFonts w:asciiTheme="minorEastAsia" w:hAnsiTheme="minorEastAsia" w:cs="宋体"/>
          <w:sz w:val="21"/>
          <w:szCs w:val="21"/>
        </w:rPr>
        <w:t>与</w:t>
      </w:r>
      <w:r>
        <w:rPr>
          <w:rFonts w:asciiTheme="minorEastAsia" w:hAnsiTheme="minorEastAsia" w:cs="宋体" w:hint="eastAsia"/>
          <w:sz w:val="21"/>
          <w:szCs w:val="21"/>
        </w:rPr>
        <w:t>本</w:t>
      </w:r>
      <w:r>
        <w:rPr>
          <w:rFonts w:ascii="宋体" w:eastAsia="宋体" w:hAnsi="宋体" w:cs="宋体" w:hint="eastAsia"/>
          <w:sz w:val="21"/>
          <w:szCs w:val="21"/>
        </w:rPr>
        <w:t>管理办法及实施细则</w:t>
      </w:r>
      <w:r>
        <w:rPr>
          <w:rFonts w:asciiTheme="minorEastAsia" w:hAnsiTheme="minorEastAsia" w:cs="宋体"/>
          <w:sz w:val="21"/>
          <w:szCs w:val="21"/>
        </w:rPr>
        <w:t>不一致的，以本</w:t>
      </w:r>
      <w:r>
        <w:rPr>
          <w:rFonts w:ascii="宋体" w:eastAsia="宋体" w:hAnsi="宋体" w:cs="宋体" w:hint="eastAsia"/>
          <w:sz w:val="21"/>
          <w:szCs w:val="21"/>
        </w:rPr>
        <w:t>管理办法及实施细则</w:t>
      </w:r>
      <w:r>
        <w:rPr>
          <w:rFonts w:asciiTheme="minorEastAsia" w:hAnsiTheme="minorEastAsia" w:cs="宋体" w:hint="eastAsia"/>
          <w:sz w:val="21"/>
          <w:szCs w:val="21"/>
        </w:rPr>
        <w:t>规定</w:t>
      </w:r>
      <w:r>
        <w:rPr>
          <w:rFonts w:asciiTheme="minorEastAsia" w:hAnsiTheme="minorEastAsia" w:cs="宋体"/>
          <w:sz w:val="21"/>
          <w:szCs w:val="21"/>
        </w:rPr>
        <w:t>为准</w:t>
      </w:r>
      <w:r>
        <w:rPr>
          <w:rFonts w:ascii="宋体" w:eastAsia="宋体" w:hAnsi="宋体" w:cs="宋体"/>
          <w:sz w:val="21"/>
          <w:szCs w:val="21"/>
        </w:rPr>
        <w:t>。</w:t>
      </w:r>
    </w:p>
    <w:p w:rsidR="003771D6" w:rsidRDefault="003771D6" w:rsidP="003771D6">
      <w:pPr>
        <w:tabs>
          <w:tab w:val="left" w:pos="567"/>
        </w:tabs>
        <w:adjustRightInd w:val="0"/>
        <w:snapToGrid w:val="0"/>
        <w:spacing w:beforeLines="50" w:before="120" w:afterLines="50" w:after="120" w:line="340" w:lineRule="exact"/>
        <w:ind w:firstLineChars="200" w:firstLine="422"/>
        <w:jc w:val="both"/>
        <w:rPr>
          <w:rFonts w:ascii="宋体" w:eastAsia="宋体" w:hAnsi="宋体" w:cs="宋体"/>
          <w:sz w:val="21"/>
          <w:szCs w:val="21"/>
        </w:rPr>
      </w:pPr>
      <w:r>
        <w:rPr>
          <w:rFonts w:ascii="宋体" w:eastAsia="宋体" w:hAnsi="宋体" w:cs="宋体" w:hint="eastAsia"/>
          <w:b/>
          <w:bCs/>
          <w:sz w:val="21"/>
          <w:szCs w:val="21"/>
        </w:rPr>
        <w:t>第十四条</w:t>
      </w:r>
      <w:r>
        <w:rPr>
          <w:rFonts w:ascii="Times New Roman" w:hAnsi="Times New Roman" w:cs="Times New Roman" w:hint="eastAsia"/>
          <w:b/>
          <w:sz w:val="21"/>
          <w:szCs w:val="21"/>
        </w:rPr>
        <w:t xml:space="preserve"> </w:t>
      </w:r>
      <w:r>
        <w:rPr>
          <w:rFonts w:ascii="宋体" w:eastAsia="宋体" w:hAnsi="宋体" w:cs="宋体" w:hint="eastAsia"/>
          <w:sz w:val="21"/>
          <w:szCs w:val="21"/>
        </w:rPr>
        <w:t>学校授权西南交通大学</w:t>
      </w:r>
      <w:r>
        <w:rPr>
          <w:rFonts w:ascii="宋体" w:eastAsia="宋体" w:hAnsi="宋体" w:cs="宋体"/>
          <w:sz w:val="21"/>
          <w:szCs w:val="21"/>
        </w:rPr>
        <w:t>-</w:t>
      </w:r>
      <w:r>
        <w:rPr>
          <w:rFonts w:ascii="宋体" w:eastAsia="宋体" w:hAnsi="宋体" w:cs="宋体" w:hint="eastAsia"/>
          <w:sz w:val="21"/>
          <w:szCs w:val="21"/>
        </w:rPr>
        <w:t>利兹学院对本管理办法及实施细则进行解释。</w:t>
      </w:r>
    </w:p>
    <w:p w:rsidR="00356341" w:rsidRPr="003771D6" w:rsidRDefault="00356341"/>
    <w:sectPr w:rsidR="00356341" w:rsidRPr="003771D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微软雅黑"/>
    <w:charset w:val="86"/>
    <w:family w:val="script"/>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E4866"/>
    <w:multiLevelType w:val="hybridMultilevel"/>
    <w:tmpl w:val="5D223EEA"/>
    <w:lvl w:ilvl="0" w:tplc="03A094C8">
      <w:start w:val="1"/>
      <w:numFmt w:val="japaneseCounting"/>
      <w:lvlText w:val="（%1）"/>
      <w:lvlJc w:val="left"/>
      <w:pPr>
        <w:ind w:left="1245" w:hanging="7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D6"/>
    <w:rsid w:val="00356341"/>
    <w:rsid w:val="003771D6"/>
    <w:rsid w:val="008616A1"/>
    <w:rsid w:val="00C7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430DB-CB95-4B10-BFCA-64FFABB6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1D6"/>
    <w:pPr>
      <w:spacing w:after="160" w:line="259" w:lineRule="auto"/>
    </w:pPr>
    <w:rPr>
      <w:kern w:val="0"/>
      <w:sz w:val="22"/>
    </w:rPr>
  </w:style>
  <w:style w:type="paragraph" w:styleId="1">
    <w:name w:val="heading 1"/>
    <w:basedOn w:val="a"/>
    <w:next w:val="a"/>
    <w:link w:val="1Char"/>
    <w:uiPriority w:val="9"/>
    <w:qFormat/>
    <w:rsid w:val="003771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qFormat/>
    <w:rsid w:val="003771D6"/>
    <w:pPr>
      <w:keepLines/>
      <w:widowControl w:val="0"/>
      <w:spacing w:before="260" w:after="260" w:line="240" w:lineRule="auto"/>
      <w:jc w:val="center"/>
      <w:outlineLvl w:val="1"/>
    </w:pPr>
    <w:rPr>
      <w:rFonts w:ascii="Arial" w:eastAsia="方正大标宋简体" w:hAnsi="Arial" w:cs="Times New Roman"/>
      <w:bCs/>
      <w:kern w:val="2"/>
      <w:sz w:val="36"/>
      <w:szCs w:val="36"/>
      <w:u w:color="FF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3771D6"/>
    <w:rPr>
      <w:rFonts w:asciiTheme="majorHAnsi" w:eastAsiaTheme="majorEastAsia" w:hAnsiTheme="majorHAnsi" w:cstheme="majorBidi"/>
      <w:color w:val="2E74B5" w:themeColor="accent1" w:themeShade="BF"/>
      <w:kern w:val="0"/>
      <w:sz w:val="32"/>
      <w:szCs w:val="32"/>
    </w:rPr>
  </w:style>
  <w:style w:type="character" w:customStyle="1" w:styleId="2Char">
    <w:name w:val="标题 2 Char"/>
    <w:basedOn w:val="a0"/>
    <w:link w:val="2"/>
    <w:qFormat/>
    <w:rsid w:val="003771D6"/>
    <w:rPr>
      <w:rFonts w:ascii="Arial" w:eastAsia="方正大标宋简体" w:hAnsi="Arial" w:cs="Times New Roman"/>
      <w:bCs/>
      <w:sz w:val="36"/>
      <w:szCs w:val="36"/>
      <w:u w:color="FF00FF"/>
    </w:rPr>
  </w:style>
  <w:style w:type="paragraph" w:customStyle="1" w:styleId="11">
    <w:name w:val="列出段落11"/>
    <w:basedOn w:val="a"/>
    <w:uiPriority w:val="34"/>
    <w:qFormat/>
    <w:rsid w:val="003771D6"/>
    <w:pPr>
      <w:widowControl w:val="0"/>
      <w:ind w:firstLineChars="200" w:firstLine="420"/>
      <w:jc w:val="both"/>
    </w:pPr>
    <w:rPr>
      <w:rFonts w:ascii="Times New Roman" w:eastAsia="宋体" w:hAnsi="Times New Roman" w:cs="Times New Roman"/>
      <w:kern w:val="2"/>
      <w:sz w:val="24"/>
      <w:szCs w:val="24"/>
    </w:rPr>
  </w:style>
  <w:style w:type="paragraph" w:styleId="a3">
    <w:name w:val="List Paragraph"/>
    <w:basedOn w:val="a"/>
    <w:uiPriority w:val="99"/>
    <w:rsid w:val="003771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2017-04-21T08:38:00Z</dcterms:created>
  <dcterms:modified xsi:type="dcterms:W3CDTF">2017-04-24T01:53:00Z</dcterms:modified>
</cp:coreProperties>
</file>